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построения Примерного учебного плана (ПУП) для 10-11 классов основаны на идее двухуровневого (базового и профильного) федерального и национально-регионального компонентов государственного образовательного стандарта.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</w:t>
      </w:r>
      <w:proofErr w:type="gramStart"/>
      <w:r>
        <w:rPr>
          <w:rFonts w:ascii="Times New Roman" w:hAnsi="Times New Roman"/>
          <w:sz w:val="28"/>
          <w:szCs w:val="28"/>
        </w:rPr>
        <w:t>федерального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и национально-регионального компонентов, направленные на завершение общеобразовательной подготовки обучающихся.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Совокупность базовых и профильных общеобразовательных учебных предметов определяет состав федерального компонента Примерного учебного плана.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 w:rsidR="00D96863"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входящие в инвариантную часть Примерного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Предметы национально-регионального компонента и компонент образовательной организации  для 10 и 11 классов представлены количеством часов, отводимых на их изучение.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образовательного учреждения</w:t>
      </w:r>
      <w:r>
        <w:rPr>
          <w:rFonts w:ascii="Times New Roman" w:hAnsi="Times New Roman"/>
          <w:sz w:val="28"/>
          <w:szCs w:val="28"/>
        </w:rPr>
        <w:t>. 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получить дополнительную подготовку для сдачи единого государственного экзамена по выбранному предмету;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способствует удовлетворению познавательных интересов в различных областях деятельности человека.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формирования учебного плана отдельного профиля обучения на базе Примерного учебного плана </w:t>
      </w:r>
      <w:r>
        <w:rPr>
          <w:rFonts w:ascii="Times New Roman" w:hAnsi="Times New Roman"/>
          <w:b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>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Выбрать в вариативной части ПУП два учебных предмета на профильном уровне, которые будут определять направление специализации образования в данном профиле.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Добавить к ним набор обязательных предметов (инвариантная часть ПУП) на базовом уровне. </w:t>
      </w:r>
      <w:proofErr w:type="gramStart"/>
      <w:r>
        <w:rPr>
          <w:rFonts w:ascii="Times New Roman" w:hAnsi="Times New Roman"/>
          <w:sz w:val="28"/>
          <w:szCs w:val="28"/>
        </w:rPr>
        <w:t>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  <w:proofErr w:type="gramEnd"/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Подсчитать суммарное число часов на изучение учебных предметов, выбранных в пп.1 и 2. Если полученное число часов меньше времени (30 часов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 ПУП).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образовательного учреждения.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учреждениях - при наполняемости 25 и более человек, в сельских – 20 и более человек.</w:t>
      </w:r>
      <w:proofErr w:type="gramEnd"/>
      <w:r>
        <w:rPr>
          <w:rFonts w:ascii="Times New Roman" w:hAnsi="Times New Roman"/>
          <w:sz w:val="28"/>
          <w:szCs w:val="28"/>
        </w:rPr>
        <w:t xml:space="preserve"> Деление классов на две группы разрешается при проведении занятий по русскому языку в 10-11 классах сельских школ при наполняемости 20 и более учащихся.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общеобразовательных учреждений, в которых не созданы условия для профильного обучения, предлагается Примерный учебный план универсального (непрофильного) обучения.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241818" w:rsidRPr="00AA2287" w:rsidRDefault="00063221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Базисный учебный план (недельный) 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010E3D">
        <w:rPr>
          <w:sz w:val="28"/>
          <w:szCs w:val="28"/>
        </w:rPr>
        <w:t>6</w:t>
      </w:r>
      <w:r w:rsidR="00241818">
        <w:rPr>
          <w:sz w:val="28"/>
          <w:szCs w:val="28"/>
        </w:rPr>
        <w:t>/201</w:t>
      </w:r>
      <w:r w:rsidR="00010E3D">
        <w:rPr>
          <w:sz w:val="28"/>
          <w:szCs w:val="28"/>
        </w:rPr>
        <w:t>7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80"/>
        <w:gridCol w:w="1620"/>
      </w:tblGrid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B254C5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B254C5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32</w:t>
            </w:r>
          </w:p>
        </w:tc>
      </w:tr>
      <w:tr w:rsidR="00241818" w:rsidRPr="00AA2287" w:rsidTr="00B254C5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 xml:space="preserve">Учебные предметы, предлагаемые образовательным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680" w:rsidRDefault="00CB0680" w:rsidP="00D96863">
      <w:pPr>
        <w:spacing w:after="0" w:line="240" w:lineRule="auto"/>
      </w:pPr>
      <w:r>
        <w:separator/>
      </w:r>
    </w:p>
  </w:endnote>
  <w:endnote w:type="continuationSeparator" w:id="0">
    <w:p w:rsidR="00CB0680" w:rsidRDefault="00CB0680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18769"/>
      <w:docPartObj>
        <w:docPartGallery w:val="Page Numbers (Bottom of Page)"/>
        <w:docPartUnique/>
      </w:docPartObj>
    </w:sdtPr>
    <w:sdtContent>
      <w:p w:rsidR="00D96863" w:rsidRDefault="00F3240D">
        <w:pPr>
          <w:pStyle w:val="a7"/>
          <w:jc w:val="center"/>
        </w:pPr>
        <w:fldSimple w:instr=" PAGE   \* MERGEFORMAT ">
          <w:r w:rsidR="0083359B">
            <w:rPr>
              <w:noProof/>
            </w:rPr>
            <w:t>3</w:t>
          </w:r>
        </w:fldSimple>
      </w:p>
    </w:sdtContent>
  </w:sdt>
  <w:p w:rsidR="00D96863" w:rsidRDefault="00D9686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680" w:rsidRDefault="00CB0680" w:rsidP="00D96863">
      <w:pPr>
        <w:spacing w:after="0" w:line="240" w:lineRule="auto"/>
      </w:pPr>
      <w:r>
        <w:separator/>
      </w:r>
    </w:p>
  </w:footnote>
  <w:footnote w:type="continuationSeparator" w:id="0">
    <w:p w:rsidR="00CB0680" w:rsidRDefault="00CB0680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6A7A"/>
    <w:rsid w:val="00010E3D"/>
    <w:rsid w:val="000301A4"/>
    <w:rsid w:val="00063221"/>
    <w:rsid w:val="00187CB5"/>
    <w:rsid w:val="001F20AA"/>
    <w:rsid w:val="00222472"/>
    <w:rsid w:val="00241818"/>
    <w:rsid w:val="00261F3C"/>
    <w:rsid w:val="002869C3"/>
    <w:rsid w:val="006475F3"/>
    <w:rsid w:val="00725477"/>
    <w:rsid w:val="0083359B"/>
    <w:rsid w:val="0087281F"/>
    <w:rsid w:val="00963906"/>
    <w:rsid w:val="009D4E61"/>
    <w:rsid w:val="00AB4904"/>
    <w:rsid w:val="00BD5417"/>
    <w:rsid w:val="00CB0680"/>
    <w:rsid w:val="00D96863"/>
    <w:rsid w:val="00F3240D"/>
    <w:rsid w:val="00F9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13</cp:revision>
  <cp:lastPrinted>2016-05-25T12:50:00Z</cp:lastPrinted>
  <dcterms:created xsi:type="dcterms:W3CDTF">2015-04-10T11:39:00Z</dcterms:created>
  <dcterms:modified xsi:type="dcterms:W3CDTF">2017-11-18T11:42:00Z</dcterms:modified>
</cp:coreProperties>
</file>